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816A74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201</w:t>
      </w:r>
      <w:r w:rsidR="00D44908">
        <w:rPr>
          <w:rFonts w:ascii="Arial" w:hAnsi="Arial"/>
          <w:b/>
          <w:color w:val="000000" w:themeColor="text1"/>
          <w:sz w:val="32"/>
          <w:szCs w:val="32"/>
        </w:rPr>
        <w:t>6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D44908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 xml:space="preserve">Johnny </w:t>
      </w:r>
      <w:proofErr w:type="spellStart"/>
      <w:r>
        <w:rPr>
          <w:rFonts w:ascii="Arial" w:hAnsi="Arial"/>
          <w:color w:val="000000" w:themeColor="text1"/>
          <w:sz w:val="20"/>
        </w:rPr>
        <w:t>Bradberry</w:t>
      </w:r>
      <w:proofErr w:type="spellEnd"/>
      <w:r w:rsidR="00403174" w:rsidRPr="001D2778">
        <w:rPr>
          <w:rFonts w:ascii="Arial" w:hAnsi="Arial"/>
          <w:color w:val="000000" w:themeColor="text1"/>
          <w:sz w:val="20"/>
        </w:rPr>
        <w:t xml:space="preserve">, Chairman of the Coastal Protection and Restoration Authority, and Executive Assistant to Governor Bobby </w:t>
      </w:r>
      <w:r>
        <w:rPr>
          <w:rFonts w:ascii="Arial" w:hAnsi="Arial"/>
          <w:color w:val="000000" w:themeColor="text1"/>
          <w:sz w:val="20"/>
        </w:rPr>
        <w:t>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January 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13, 2016</w:t>
      </w:r>
    </w:p>
    <w:p w:rsidR="00403174" w:rsidRPr="001D2778" w:rsidRDefault="00D44908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24,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 xml:space="preserve">Baton Rouge,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March 16,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20,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18, 2016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15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2016</w:t>
      </w:r>
    </w:p>
    <w:p w:rsidR="00403174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Slidell, LA 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20, 2016</w:t>
      </w:r>
    </w:p>
    <w:p w:rsidR="00403174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Thibodaux,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August 17,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Iberia,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September 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21, 2016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19,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5A06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C25A06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 xml:space="preserve">Governor’s </w:t>
      </w:r>
      <w:r w:rsidR="00403174"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Advisory Commission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17, 2016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April 6, 2016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816A74" w:rsidRDefault="00816A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June 1,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August 3,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New Orleans, LA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October 5, 2016</w:t>
      </w: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TBD</w:t>
      </w:r>
    </w:p>
    <w:p w:rsidR="00403174" w:rsidRPr="001D2778" w:rsidRDefault="00403174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03174" w:rsidRPr="001D2778" w:rsidRDefault="00D44908" w:rsidP="00403174">
      <w:pP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December 7, 2016</w:t>
      </w:r>
    </w:p>
    <w:p w:rsidR="00403174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Baton Rouge, LA</w:t>
      </w:r>
      <w:bookmarkStart w:id="0" w:name="_GoBack"/>
      <w:bookmarkEnd w:id="0"/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4"/>
    <w:rsid w:val="00194D8C"/>
    <w:rsid w:val="001D2778"/>
    <w:rsid w:val="003C61C3"/>
    <w:rsid w:val="00403174"/>
    <w:rsid w:val="00590100"/>
    <w:rsid w:val="007400EF"/>
    <w:rsid w:val="00816A74"/>
    <w:rsid w:val="008A059F"/>
    <w:rsid w:val="00921B22"/>
    <w:rsid w:val="009E3850"/>
    <w:rsid w:val="00A618C1"/>
    <w:rsid w:val="00C25A06"/>
    <w:rsid w:val="00D44908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Meg Bankston</cp:lastModifiedBy>
  <cp:revision>2</cp:revision>
  <cp:lastPrinted>2015-10-08T14:35:00Z</cp:lastPrinted>
  <dcterms:created xsi:type="dcterms:W3CDTF">2016-06-21T20:59:00Z</dcterms:created>
  <dcterms:modified xsi:type="dcterms:W3CDTF">2016-06-21T20:59:00Z</dcterms:modified>
</cp:coreProperties>
</file>